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323232"/>
          <w:sz w:val="36"/>
          <w:szCs w:val="36"/>
        </w:rPr>
        <w:t>市级财政预算绩效评价报告</w:t>
      </w:r>
      <w:bookmarkStart w:id="0" w:name="_Toc169183181"/>
    </w:p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</w:p>
    <w:p>
      <w:pPr>
        <w:spacing w:line="180" w:lineRule="auto"/>
        <w:jc w:val="center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</w:p>
    <w:p>
      <w:pPr>
        <w:spacing w:line="180" w:lineRule="auto"/>
        <w:ind w:firstLine="640" w:firstLineChars="200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一、概述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项目单位基本情况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中共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委党史地方志办公室。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、项目概况（包括项目主要内容、立项依据及背景等）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“党史方志馆崤函网文献库”管理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、项目资金情况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      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财政拨款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“党史方志馆崤函网文献库”管理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1.5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万元，全年执行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1.5</w:t>
      </w:r>
      <w:bookmarkStart w:id="3" w:name="_GoBack"/>
      <w:bookmarkEnd w:id="3"/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left="48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、绩效目标（包括项目绩效目标、绩效指标设定情况，包括预期总目标及阶段性目标）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二、评价工作简述</w:t>
      </w:r>
      <w:bookmarkEnd w:id="0"/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基本情况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“党史方志馆崤函网文献库”管理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评价组织实施</w:t>
      </w:r>
      <w:bookmarkStart w:id="1" w:name="_Toc169183188"/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无评价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bookmarkEnd w:id="1"/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三、绩效评价分析</w:t>
      </w:r>
    </w:p>
    <w:p>
      <w:pPr>
        <w:spacing w:line="180" w:lineRule="auto"/>
        <w:ind w:firstLine="480" w:firstLineChars="150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（一）项目绩效目标完成情况分析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项目绩效目标评价分析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项目目标明确性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、目标细化程度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、项目绩效控制率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资金使用及管理情况分析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制定该项目使用管理制度，按照相应制度执行率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项目组织情况分析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项目根据项目资金性质不同进行招标。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项目实施及实施过程中全程进行检查监督。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项目产出及效果评价分析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将项目支出后的实际状况与申报的绩效目标对比，从项目的经济性、效率性、有效性和可持续性等方面进行量化、具体分析。其中：项目的经济性分析主要是对项目成本（预算）控制率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；项目的效率性分析主要是对项目实施（完成）的进度及质量等情况进行分析达到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；项目有效完成。</w:t>
      </w:r>
    </w:p>
    <w:p>
      <w:pPr>
        <w:numPr>
          <w:ilvl w:val="0"/>
          <w:numId w:val="2"/>
        </w:numPr>
        <w:spacing w:line="180" w:lineRule="auto"/>
        <w:ind w:firstLine="480" w:firstLineChars="150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项目绩效目标未完成原因分析</w:t>
      </w:r>
    </w:p>
    <w:p>
      <w:pPr>
        <w:spacing w:line="180" w:lineRule="auto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绩效目标达到预期指标</w:t>
      </w:r>
    </w:p>
    <w:p>
      <w:pPr>
        <w:numPr>
          <w:ilvl w:val="0"/>
          <w:numId w:val="3"/>
        </w:num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评价结论</w:t>
      </w:r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黑体" w:hAnsi="Times New Roman" w:eastAsia="黑体" w:cs="黑体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五、主要经验及做法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严格按照项目资金类型进行实施</w:t>
      </w: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六、存在问题和建议</w:t>
      </w:r>
      <w:bookmarkStart w:id="2" w:name="_Toc169183194"/>
    </w:p>
    <w:bookmarkEnd w:id="2"/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7F23"/>
    <w:multiLevelType w:val="singleLevel"/>
    <w:tmpl w:val="9AC67F23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FC5C0AA9"/>
    <w:multiLevelType w:val="singleLevel"/>
    <w:tmpl w:val="FC5C0AA9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7E911370"/>
    <w:multiLevelType w:val="singleLevel"/>
    <w:tmpl w:val="7E91137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yYTIzNWZkNjJlYzYyOTNlZmEyZGM3NDA0YzhkZDkifQ=="/>
  </w:docVars>
  <w:rsids>
    <w:rsidRoot w:val="00E83E88"/>
    <w:rsid w:val="00007623"/>
    <w:rsid w:val="00010AEF"/>
    <w:rsid w:val="000334D7"/>
    <w:rsid w:val="00034243"/>
    <w:rsid w:val="000358AF"/>
    <w:rsid w:val="00041E73"/>
    <w:rsid w:val="0004251F"/>
    <w:rsid w:val="0004770D"/>
    <w:rsid w:val="00050460"/>
    <w:rsid w:val="00054145"/>
    <w:rsid w:val="00061885"/>
    <w:rsid w:val="0007034D"/>
    <w:rsid w:val="00097D8D"/>
    <w:rsid w:val="000B736F"/>
    <w:rsid w:val="000C0762"/>
    <w:rsid w:val="000C4A82"/>
    <w:rsid w:val="000C7D04"/>
    <w:rsid w:val="000E1678"/>
    <w:rsid w:val="000E6F16"/>
    <w:rsid w:val="000E7EF2"/>
    <w:rsid w:val="000F7F07"/>
    <w:rsid w:val="001523D6"/>
    <w:rsid w:val="0016603B"/>
    <w:rsid w:val="001A1210"/>
    <w:rsid w:val="001A4055"/>
    <w:rsid w:val="001D12CB"/>
    <w:rsid w:val="001D58CC"/>
    <w:rsid w:val="00202F96"/>
    <w:rsid w:val="00212105"/>
    <w:rsid w:val="00212D20"/>
    <w:rsid w:val="00212DBB"/>
    <w:rsid w:val="00221684"/>
    <w:rsid w:val="00224FDD"/>
    <w:rsid w:val="002309B9"/>
    <w:rsid w:val="00234B23"/>
    <w:rsid w:val="002404A6"/>
    <w:rsid w:val="0024346D"/>
    <w:rsid w:val="00266B39"/>
    <w:rsid w:val="00284C50"/>
    <w:rsid w:val="002C1C96"/>
    <w:rsid w:val="002D0935"/>
    <w:rsid w:val="002E1189"/>
    <w:rsid w:val="002E5A6E"/>
    <w:rsid w:val="00333C93"/>
    <w:rsid w:val="00354B0C"/>
    <w:rsid w:val="003C430B"/>
    <w:rsid w:val="003F3BFF"/>
    <w:rsid w:val="0041748A"/>
    <w:rsid w:val="004238F6"/>
    <w:rsid w:val="00425886"/>
    <w:rsid w:val="00432788"/>
    <w:rsid w:val="004808FA"/>
    <w:rsid w:val="004810B7"/>
    <w:rsid w:val="00492A9C"/>
    <w:rsid w:val="004944A2"/>
    <w:rsid w:val="0049760E"/>
    <w:rsid w:val="004977B5"/>
    <w:rsid w:val="004C5D8F"/>
    <w:rsid w:val="004C769E"/>
    <w:rsid w:val="004D703B"/>
    <w:rsid w:val="005036F7"/>
    <w:rsid w:val="00523C82"/>
    <w:rsid w:val="00556C4E"/>
    <w:rsid w:val="0057356E"/>
    <w:rsid w:val="00594502"/>
    <w:rsid w:val="005A565D"/>
    <w:rsid w:val="005C0A39"/>
    <w:rsid w:val="005C432F"/>
    <w:rsid w:val="00605813"/>
    <w:rsid w:val="00620FED"/>
    <w:rsid w:val="006525AD"/>
    <w:rsid w:val="00676CF1"/>
    <w:rsid w:val="00684435"/>
    <w:rsid w:val="00684952"/>
    <w:rsid w:val="006B10B2"/>
    <w:rsid w:val="006B123D"/>
    <w:rsid w:val="006B6EE2"/>
    <w:rsid w:val="006F2832"/>
    <w:rsid w:val="007153F7"/>
    <w:rsid w:val="00723165"/>
    <w:rsid w:val="00723437"/>
    <w:rsid w:val="00765A83"/>
    <w:rsid w:val="00771DD0"/>
    <w:rsid w:val="00773987"/>
    <w:rsid w:val="007B0FBE"/>
    <w:rsid w:val="007E67E4"/>
    <w:rsid w:val="00806518"/>
    <w:rsid w:val="008105C6"/>
    <w:rsid w:val="00810AF8"/>
    <w:rsid w:val="00812322"/>
    <w:rsid w:val="0083193E"/>
    <w:rsid w:val="00852BA7"/>
    <w:rsid w:val="00862E46"/>
    <w:rsid w:val="00881B65"/>
    <w:rsid w:val="008856E4"/>
    <w:rsid w:val="008A63B1"/>
    <w:rsid w:val="008F1BD6"/>
    <w:rsid w:val="00932FBA"/>
    <w:rsid w:val="00945B57"/>
    <w:rsid w:val="00950968"/>
    <w:rsid w:val="00970A24"/>
    <w:rsid w:val="00991256"/>
    <w:rsid w:val="009D17D2"/>
    <w:rsid w:val="009E260D"/>
    <w:rsid w:val="00A14454"/>
    <w:rsid w:val="00A3051C"/>
    <w:rsid w:val="00A548A8"/>
    <w:rsid w:val="00AC4C22"/>
    <w:rsid w:val="00AF6EA6"/>
    <w:rsid w:val="00B002F5"/>
    <w:rsid w:val="00B03DCC"/>
    <w:rsid w:val="00B1715D"/>
    <w:rsid w:val="00B35336"/>
    <w:rsid w:val="00B420B0"/>
    <w:rsid w:val="00BB5622"/>
    <w:rsid w:val="00C00B82"/>
    <w:rsid w:val="00C42FEA"/>
    <w:rsid w:val="00C460E3"/>
    <w:rsid w:val="00C7347F"/>
    <w:rsid w:val="00CB06E3"/>
    <w:rsid w:val="00CC60C5"/>
    <w:rsid w:val="00CE4FF1"/>
    <w:rsid w:val="00D143D2"/>
    <w:rsid w:val="00D15BB1"/>
    <w:rsid w:val="00D21451"/>
    <w:rsid w:val="00D26CD1"/>
    <w:rsid w:val="00D37DED"/>
    <w:rsid w:val="00D42E76"/>
    <w:rsid w:val="00D621DA"/>
    <w:rsid w:val="00D62E19"/>
    <w:rsid w:val="00D82A04"/>
    <w:rsid w:val="00D950D4"/>
    <w:rsid w:val="00DB6EA1"/>
    <w:rsid w:val="00DD077E"/>
    <w:rsid w:val="00DF21B3"/>
    <w:rsid w:val="00DF3D34"/>
    <w:rsid w:val="00DF7156"/>
    <w:rsid w:val="00E173D8"/>
    <w:rsid w:val="00E83E88"/>
    <w:rsid w:val="00E90235"/>
    <w:rsid w:val="00EB42E4"/>
    <w:rsid w:val="00EF1198"/>
    <w:rsid w:val="00F241BC"/>
    <w:rsid w:val="00F36A93"/>
    <w:rsid w:val="00F37E5F"/>
    <w:rsid w:val="00F46F79"/>
    <w:rsid w:val="00F5553B"/>
    <w:rsid w:val="00F559CE"/>
    <w:rsid w:val="00F75A65"/>
    <w:rsid w:val="00FD0F9A"/>
    <w:rsid w:val="00FD520C"/>
    <w:rsid w:val="00FD54D8"/>
    <w:rsid w:val="00FE6192"/>
    <w:rsid w:val="11AB7911"/>
    <w:rsid w:val="11F237B0"/>
    <w:rsid w:val="133F787F"/>
    <w:rsid w:val="150C4A06"/>
    <w:rsid w:val="151E7B29"/>
    <w:rsid w:val="17D455F2"/>
    <w:rsid w:val="184A3994"/>
    <w:rsid w:val="19D66CC3"/>
    <w:rsid w:val="1A4452B5"/>
    <w:rsid w:val="1C7629B3"/>
    <w:rsid w:val="1F863603"/>
    <w:rsid w:val="21C5736E"/>
    <w:rsid w:val="285144FB"/>
    <w:rsid w:val="2874267C"/>
    <w:rsid w:val="2B0131DB"/>
    <w:rsid w:val="2D236EF6"/>
    <w:rsid w:val="2F08348D"/>
    <w:rsid w:val="33E622D9"/>
    <w:rsid w:val="37C33570"/>
    <w:rsid w:val="37FE38FA"/>
    <w:rsid w:val="3B993C7F"/>
    <w:rsid w:val="401230FA"/>
    <w:rsid w:val="40D61CF1"/>
    <w:rsid w:val="4139038E"/>
    <w:rsid w:val="41D259A7"/>
    <w:rsid w:val="44190515"/>
    <w:rsid w:val="44F44D4B"/>
    <w:rsid w:val="46E27A33"/>
    <w:rsid w:val="47692A47"/>
    <w:rsid w:val="48806D47"/>
    <w:rsid w:val="49712365"/>
    <w:rsid w:val="4A222D69"/>
    <w:rsid w:val="4A266A20"/>
    <w:rsid w:val="4C0200B2"/>
    <w:rsid w:val="4FFF56EC"/>
    <w:rsid w:val="51AE4DA7"/>
    <w:rsid w:val="54584F99"/>
    <w:rsid w:val="54D34461"/>
    <w:rsid w:val="54D437BF"/>
    <w:rsid w:val="55D96C0E"/>
    <w:rsid w:val="590B5747"/>
    <w:rsid w:val="59DD1640"/>
    <w:rsid w:val="5C79E0B1"/>
    <w:rsid w:val="5D547E8C"/>
    <w:rsid w:val="5FD1120B"/>
    <w:rsid w:val="6325716E"/>
    <w:rsid w:val="684A0D4B"/>
    <w:rsid w:val="6F7D16A3"/>
    <w:rsid w:val="717867C4"/>
    <w:rsid w:val="75481CD8"/>
    <w:rsid w:val="77223E8F"/>
    <w:rsid w:val="793D08DA"/>
    <w:rsid w:val="7DA14EEE"/>
    <w:rsid w:val="7FFFEBAF"/>
    <w:rsid w:val="C9FE2E69"/>
    <w:rsid w:val="E167F2D6"/>
    <w:rsid w:val="F5D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仿宋" w:hAnsi="仿宋" w:eastAsia="仿宋" w:cs="仿宋"/>
      <w:sz w:val="32"/>
      <w:szCs w:val="32"/>
      <w:lang w:val="zh-CN"/>
    </w:rPr>
  </w:style>
  <w:style w:type="paragraph" w:styleId="3">
    <w:name w:val="Balloon Text"/>
    <w:basedOn w:val="1"/>
    <w:link w:val="12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customStyle="1" w:styleId="11">
    <w:name w:val="Body Text Char"/>
    <w:basedOn w:val="9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Balloon Text Char"/>
    <w:basedOn w:val="9"/>
    <w:link w:val="3"/>
    <w:semiHidden/>
    <w:locked/>
    <w:uiPriority w:val="99"/>
    <w:rPr>
      <w:rFonts w:cs="Times New Roman"/>
      <w:sz w:val="18"/>
    </w:rPr>
  </w:style>
  <w:style w:type="character" w:customStyle="1" w:styleId="13">
    <w:name w:val="Footer Char"/>
    <w:basedOn w:val="9"/>
    <w:link w:val="4"/>
    <w:locked/>
    <w:uiPriority w:val="99"/>
    <w:rPr>
      <w:rFonts w:cs="Times New Roman"/>
      <w:sz w:val="18"/>
    </w:rPr>
  </w:style>
  <w:style w:type="character" w:customStyle="1" w:styleId="14">
    <w:name w:val="Header Char"/>
    <w:basedOn w:val="9"/>
    <w:link w:val="5"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555</Words>
  <Characters>584</Characters>
  <Lines>0</Lines>
  <Paragraphs>0</Paragraphs>
  <TotalTime>3</TotalTime>
  <ScaleCrop>false</ScaleCrop>
  <LinksUpToDate>false</LinksUpToDate>
  <CharactersWithSpaces>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2017-09-11T11:23:00Z</dcterms:created>
  <dc:creator>王东阁</dc:creator>
  <cp:lastModifiedBy>Administrator</cp:lastModifiedBy>
  <cp:lastPrinted>2021-05-17T02:40:00Z</cp:lastPrinted>
  <dcterms:modified xsi:type="dcterms:W3CDTF">2023-04-12T06:52:18Z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7E3AB398C20541D38DE615CBF65AA5CD</vt:lpwstr>
  </property>
</Properties>
</file>